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C4047" w14:paraId="457E4CF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5BD9808" w14:textId="77777777" w:rsidR="00602F7D" w:rsidRPr="008C404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8C4047" w14:paraId="5F9141A2" w14:textId="77777777" w:rsidTr="002643B3">
        <w:trPr>
          <w:trHeight w:val="290"/>
        </w:trPr>
        <w:tc>
          <w:tcPr>
            <w:tcW w:w="1234" w:type="pct"/>
          </w:tcPr>
          <w:p w14:paraId="195C56D6" w14:textId="77777777" w:rsidR="0000007A" w:rsidRPr="008C404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C09D1" w14:textId="77777777" w:rsidR="0000007A" w:rsidRPr="008C4047" w:rsidRDefault="002E243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8C404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Economics, Business and Accounting</w:t>
              </w:r>
            </w:hyperlink>
          </w:p>
        </w:tc>
      </w:tr>
      <w:tr w:rsidR="0000007A" w:rsidRPr="008C4047" w14:paraId="5B287FE3" w14:textId="77777777" w:rsidTr="002643B3">
        <w:trPr>
          <w:trHeight w:val="290"/>
        </w:trPr>
        <w:tc>
          <w:tcPr>
            <w:tcW w:w="1234" w:type="pct"/>
          </w:tcPr>
          <w:p w14:paraId="628FD238" w14:textId="77777777" w:rsidR="0000007A" w:rsidRPr="008C404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09D8A" w14:textId="77777777" w:rsidR="0000007A" w:rsidRPr="008C4047" w:rsidRDefault="0090542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Ms_AJEBA_145208</w:t>
            </w:r>
          </w:p>
        </w:tc>
      </w:tr>
      <w:tr w:rsidR="0000007A" w:rsidRPr="008C4047" w14:paraId="087E2A3D" w14:textId="77777777" w:rsidTr="002643B3">
        <w:trPr>
          <w:trHeight w:val="650"/>
        </w:trPr>
        <w:tc>
          <w:tcPr>
            <w:tcW w:w="1234" w:type="pct"/>
          </w:tcPr>
          <w:p w14:paraId="3BBF0F9E" w14:textId="77777777" w:rsidR="0000007A" w:rsidRPr="008C404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6E64F" w14:textId="77777777" w:rsidR="0000007A" w:rsidRPr="008C4047" w:rsidRDefault="0090542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b/>
                <w:sz w:val="20"/>
                <w:szCs w:val="20"/>
                <w:lang w:val="en-GB"/>
              </w:rPr>
              <w:t>UNRAVELING STOCK VOLATILITY: THE ROLE OF DIVIDEND PAYOUT RATIO, PROFITABILITY, AND ENTERPRISE RESOURCE PLANNING IN INDONESIAN LISTED COMPANIES (20222024)</w:t>
            </w:r>
          </w:p>
        </w:tc>
      </w:tr>
      <w:tr w:rsidR="00CF0BBB" w:rsidRPr="008C4047" w14:paraId="27755D7F" w14:textId="77777777" w:rsidTr="002643B3">
        <w:trPr>
          <w:trHeight w:val="332"/>
        </w:trPr>
        <w:tc>
          <w:tcPr>
            <w:tcW w:w="1234" w:type="pct"/>
          </w:tcPr>
          <w:p w14:paraId="6B2708DA" w14:textId="77777777" w:rsidR="00CF0BBB" w:rsidRPr="008C404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B70DB" w14:textId="77777777" w:rsidR="00CF0BBB" w:rsidRPr="008C4047" w:rsidRDefault="002A193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44132E6" w14:textId="77777777" w:rsidR="00E82DF5" w:rsidRPr="008C4047" w:rsidRDefault="00E82DF5" w:rsidP="00E82DF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E82DF5" w:rsidRPr="008C4047" w14:paraId="04A3CBD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44A7A45" w14:textId="77777777" w:rsidR="00E82DF5" w:rsidRPr="008C4047" w:rsidRDefault="00E82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404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C404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841854D" w14:textId="77777777" w:rsidR="00E82DF5" w:rsidRPr="008C4047" w:rsidRDefault="00E82D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82DF5" w:rsidRPr="008C4047" w14:paraId="72201251" w14:textId="77777777">
        <w:tc>
          <w:tcPr>
            <w:tcW w:w="1265" w:type="pct"/>
            <w:noWrap/>
          </w:tcPr>
          <w:p w14:paraId="1ACED9AF" w14:textId="77777777" w:rsidR="00E82DF5" w:rsidRPr="008C4047" w:rsidRDefault="00E82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C81D05D" w14:textId="77777777" w:rsidR="00E82DF5" w:rsidRPr="008C4047" w:rsidRDefault="00E82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spellStart"/>
            <w:r w:rsidRPr="008C4047">
              <w:rPr>
                <w:rFonts w:ascii="Arial" w:hAnsi="Arial" w:cs="Arial"/>
                <w:lang w:val="en-GB"/>
              </w:rPr>
              <w:t>Reviewers</w:t>
            </w:r>
            <w:proofErr w:type="spellEnd"/>
            <w:r w:rsidRPr="008C4047">
              <w:rPr>
                <w:rFonts w:ascii="Arial" w:hAnsi="Arial" w:cs="Arial"/>
                <w:lang w:val="en-GB"/>
              </w:rPr>
              <w:t xml:space="preserve"> comment</w:t>
            </w:r>
          </w:p>
          <w:p w14:paraId="6B2345B1" w14:textId="77777777" w:rsidR="00EF54EA" w:rsidRPr="008C4047" w:rsidRDefault="00EF54EA" w:rsidP="00EF5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04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3358333" w14:textId="77777777" w:rsidR="00EF54EA" w:rsidRPr="008C4047" w:rsidRDefault="00EF54EA" w:rsidP="00EF5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6F70494" w14:textId="77777777" w:rsidR="003A04AA" w:rsidRPr="008C4047" w:rsidRDefault="003A04AA" w:rsidP="003A04A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proofErr w:type="spellStart"/>
            <w:r w:rsidRPr="008C40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Authors</w:t>
            </w:r>
            <w:proofErr w:type="spellEnd"/>
            <w:r w:rsidRPr="008C40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 Feedback</w:t>
            </w:r>
            <w:r w:rsidRPr="008C404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77A5C9" w14:textId="77777777" w:rsidR="00E82DF5" w:rsidRPr="008C4047" w:rsidRDefault="00E82D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82DF5" w:rsidRPr="008C4047" w14:paraId="05CF4ECE" w14:textId="77777777" w:rsidTr="00962C57">
        <w:trPr>
          <w:trHeight w:val="998"/>
        </w:trPr>
        <w:tc>
          <w:tcPr>
            <w:tcW w:w="1265" w:type="pct"/>
            <w:noWrap/>
          </w:tcPr>
          <w:p w14:paraId="536BA8D5" w14:textId="77777777" w:rsidR="00E82DF5" w:rsidRPr="008C4047" w:rsidRDefault="00E82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438D383" w14:textId="77777777" w:rsidR="00E82DF5" w:rsidRPr="008C4047" w:rsidRDefault="00E82D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3172426" w14:textId="77777777" w:rsidR="00E82DF5" w:rsidRPr="008C4047" w:rsidRDefault="000E3950" w:rsidP="00C1473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sz w:val="20"/>
                <w:szCs w:val="20"/>
              </w:rPr>
              <w:t>This manuscript links dividend policy, profitability, and ERP adoption to stock volatility in Indonesia, offering novel post-pandemic insights for literature, managers, investors, and market stability.</w:t>
            </w:r>
          </w:p>
        </w:tc>
        <w:tc>
          <w:tcPr>
            <w:tcW w:w="1523" w:type="pct"/>
          </w:tcPr>
          <w:p w14:paraId="59D2C4A8" w14:textId="77777777" w:rsidR="00E82DF5" w:rsidRPr="008C4047" w:rsidRDefault="00F55F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C4047">
              <w:rPr>
                <w:rFonts w:ascii="Arial" w:hAnsi="Arial" w:cs="Arial"/>
                <w:b w:val="0"/>
                <w:lang w:val="en-GB"/>
              </w:rPr>
              <w:t>Yes, this paper links dividend policy, profitability, and ERP adoption with stock volatility in Indonesia.</w:t>
            </w:r>
          </w:p>
        </w:tc>
      </w:tr>
      <w:tr w:rsidR="00E82DF5" w:rsidRPr="008C4047" w14:paraId="4D9BF150" w14:textId="77777777">
        <w:trPr>
          <w:trHeight w:val="1283"/>
        </w:trPr>
        <w:tc>
          <w:tcPr>
            <w:tcW w:w="1265" w:type="pct"/>
            <w:noWrap/>
          </w:tcPr>
          <w:p w14:paraId="7D0EEC48" w14:textId="77777777" w:rsidR="00E82DF5" w:rsidRPr="008C4047" w:rsidRDefault="00E82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08B6FE1" w14:textId="77777777" w:rsidR="00E82DF5" w:rsidRPr="008C4047" w:rsidRDefault="00E82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04FEFF7" w14:textId="77777777" w:rsidR="00E82DF5" w:rsidRPr="008C4047" w:rsidRDefault="00E82D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5B5BFC7" w14:textId="77777777" w:rsidR="00E82DF5" w:rsidRPr="008C4047" w:rsidRDefault="000E3950" w:rsidP="00C1473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sz w:val="20"/>
                <w:szCs w:val="20"/>
                <w:lang w:val="en-GB"/>
              </w:rPr>
              <w:t xml:space="preserve">Yes, however a short title can be used like </w:t>
            </w:r>
            <w:r w:rsidRPr="008C4047">
              <w:rPr>
                <w:rFonts w:ascii="Arial" w:hAnsi="Arial" w:cs="Arial"/>
                <w:sz w:val="20"/>
                <w:szCs w:val="20"/>
              </w:rPr>
              <w:t xml:space="preserve">Stock Volatility in Indonesia: The Role of Dividend Payout, Profitability, and ERP Adoption </w:t>
            </w:r>
          </w:p>
        </w:tc>
        <w:tc>
          <w:tcPr>
            <w:tcW w:w="1523" w:type="pct"/>
          </w:tcPr>
          <w:p w14:paraId="388B2875" w14:textId="77777777" w:rsidR="00E82DF5" w:rsidRPr="008C4047" w:rsidRDefault="004E2B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C4047">
              <w:rPr>
                <w:rFonts w:ascii="Arial" w:hAnsi="Arial" w:cs="Arial"/>
                <w:b w:val="0"/>
                <w:lang w:val="en-US"/>
              </w:rPr>
              <w:t>Dividend Policy, Profitability, and ERP Implementation as Determinants of Stock Price Volatility: Evidence from Indonesia</w:t>
            </w:r>
          </w:p>
        </w:tc>
      </w:tr>
      <w:tr w:rsidR="00E82DF5" w:rsidRPr="008C4047" w14:paraId="0D0815CC" w14:textId="77777777">
        <w:trPr>
          <w:trHeight w:val="1262"/>
        </w:trPr>
        <w:tc>
          <w:tcPr>
            <w:tcW w:w="1265" w:type="pct"/>
            <w:noWrap/>
          </w:tcPr>
          <w:p w14:paraId="7285579C" w14:textId="77777777" w:rsidR="00E82DF5" w:rsidRPr="008C4047" w:rsidRDefault="00E82DF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C404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07EFBCE" w14:textId="77777777" w:rsidR="00E82DF5" w:rsidRPr="008C4047" w:rsidRDefault="00E82D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28EB254" w14:textId="77777777" w:rsidR="00C1473B" w:rsidRPr="008C4047" w:rsidRDefault="00C1473B" w:rsidP="00C147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4047">
              <w:rPr>
                <w:rFonts w:ascii="Arial" w:hAnsi="Arial" w:cs="Arial"/>
                <w:sz w:val="20"/>
                <w:szCs w:val="20"/>
              </w:rPr>
              <w:t>In the abstract " ROA has a negative but insignificant effect" while in the discussion in manuscript it is explained that ROA shows a positive relationship with volatility. This discrepancy must be resolved for consistency. Although managerial implications are referred to, a statement regarding applicability in terms of development of specific investment strategies by investors or the design of policy would take it a step further.</w:t>
            </w:r>
          </w:p>
          <w:p w14:paraId="575C0599" w14:textId="77777777" w:rsidR="00E82DF5" w:rsidRPr="008C4047" w:rsidRDefault="00E82DF5" w:rsidP="00C1473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04FB60F" w14:textId="77777777" w:rsidR="00E82DF5" w:rsidRPr="008C4047" w:rsidRDefault="00F55F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C4047">
              <w:rPr>
                <w:rFonts w:ascii="Arial" w:hAnsi="Arial" w:cs="Arial"/>
                <w:b w:val="0"/>
                <w:lang w:val="en-US"/>
              </w:rPr>
              <w:t xml:space="preserve">Yes, I apologize, there is a slight correction. </w:t>
            </w:r>
          </w:p>
        </w:tc>
      </w:tr>
      <w:tr w:rsidR="00E82DF5" w:rsidRPr="008C4047" w14:paraId="24B6C7F4" w14:textId="77777777">
        <w:trPr>
          <w:trHeight w:val="704"/>
        </w:trPr>
        <w:tc>
          <w:tcPr>
            <w:tcW w:w="1265" w:type="pct"/>
            <w:noWrap/>
          </w:tcPr>
          <w:p w14:paraId="0A38FD5E" w14:textId="77777777" w:rsidR="00E82DF5" w:rsidRPr="008C4047" w:rsidRDefault="00E82DF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C404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75CC13A" w14:textId="77777777" w:rsidR="00E82DF5" w:rsidRPr="008C4047" w:rsidRDefault="00C1473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bCs/>
                <w:sz w:val="20"/>
                <w:szCs w:val="20"/>
              </w:rPr>
              <w:t>With the ROA contradiction corrected, claims toned down to match statistical significance, model justification expanded, and measurements/controls clarified, the manuscript will meet scientific standards.</w:t>
            </w:r>
          </w:p>
        </w:tc>
        <w:tc>
          <w:tcPr>
            <w:tcW w:w="1523" w:type="pct"/>
          </w:tcPr>
          <w:p w14:paraId="4C6DA098" w14:textId="77777777" w:rsidR="00E82DF5" w:rsidRPr="008C4047" w:rsidRDefault="00F55F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C4047">
              <w:rPr>
                <w:rFonts w:ascii="Arial" w:hAnsi="Arial" w:cs="Arial"/>
                <w:b w:val="0"/>
                <w:bCs w:val="0"/>
                <w:lang w:val="en-US"/>
              </w:rPr>
              <w:t>The correct statement is that the ROA variable does not have a significant effect on stock price volatility.</w:t>
            </w:r>
          </w:p>
        </w:tc>
      </w:tr>
      <w:tr w:rsidR="00E82DF5" w:rsidRPr="008C4047" w14:paraId="14625AE5" w14:textId="77777777">
        <w:trPr>
          <w:trHeight w:val="703"/>
        </w:trPr>
        <w:tc>
          <w:tcPr>
            <w:tcW w:w="1265" w:type="pct"/>
            <w:noWrap/>
          </w:tcPr>
          <w:p w14:paraId="1321A23A" w14:textId="77777777" w:rsidR="00E82DF5" w:rsidRPr="008C4047" w:rsidRDefault="00E82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C594298" w14:textId="77777777" w:rsidR="00E82DF5" w:rsidRPr="008C4047" w:rsidRDefault="00DA2A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adequate, current, and pertinent; however, incorporating additional global ERP-finance literature, recent volatility modelling research, and post-COVID dividend/profitability analyses would enhance the work.</w:t>
            </w:r>
          </w:p>
        </w:tc>
        <w:tc>
          <w:tcPr>
            <w:tcW w:w="1523" w:type="pct"/>
          </w:tcPr>
          <w:p w14:paraId="575C8B8C" w14:textId="77777777" w:rsidR="00E82DF5" w:rsidRPr="008C4047" w:rsidRDefault="00F55F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C4047">
              <w:rPr>
                <w:rFonts w:ascii="Arial" w:hAnsi="Arial" w:cs="Arial"/>
                <w:b w:val="0"/>
                <w:lang w:val="en-GB"/>
              </w:rPr>
              <w:t>Okay, for references discussing this topic, there are already some in our articles.</w:t>
            </w:r>
          </w:p>
        </w:tc>
      </w:tr>
      <w:tr w:rsidR="00E82DF5" w:rsidRPr="008C4047" w14:paraId="6EDDFCBC" w14:textId="77777777">
        <w:trPr>
          <w:trHeight w:val="386"/>
        </w:trPr>
        <w:tc>
          <w:tcPr>
            <w:tcW w:w="1265" w:type="pct"/>
            <w:noWrap/>
          </w:tcPr>
          <w:p w14:paraId="1C45BF49" w14:textId="77777777" w:rsidR="00E82DF5" w:rsidRPr="008C4047" w:rsidRDefault="00E82DF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C404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AC820EC" w14:textId="77777777" w:rsidR="00E82DF5" w:rsidRPr="008C4047" w:rsidRDefault="00E82D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AA3C990" w14:textId="77777777" w:rsidR="00E82DF5" w:rsidRPr="008C4047" w:rsidRDefault="00DA2A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sz w:val="20"/>
                <w:szCs w:val="20"/>
                <w:lang w:val="en-GB"/>
              </w:rPr>
              <w:t>The language is</w:t>
            </w:r>
            <w:r w:rsidR="007C3CD4" w:rsidRPr="008C404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8C4047">
              <w:rPr>
                <w:rFonts w:ascii="Arial" w:hAnsi="Arial" w:cs="Arial"/>
                <w:sz w:val="20"/>
                <w:szCs w:val="20"/>
                <w:lang w:val="en-GB"/>
              </w:rPr>
              <w:t>good enough for academic communication; readers can understand the arguments and conclusions.</w:t>
            </w:r>
            <w:r w:rsidR="007C3CD4" w:rsidRPr="008C404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gramStart"/>
            <w:r w:rsidR="007C3CD4" w:rsidRPr="008C4047">
              <w:rPr>
                <w:rFonts w:ascii="Arial" w:hAnsi="Arial" w:cs="Arial"/>
                <w:sz w:val="20"/>
                <w:szCs w:val="20"/>
                <w:lang w:val="en-GB"/>
              </w:rPr>
              <w:t>However</w:t>
            </w:r>
            <w:proofErr w:type="gramEnd"/>
            <w:r w:rsidR="007C3CD4" w:rsidRPr="008C4047">
              <w:rPr>
                <w:rFonts w:ascii="Arial" w:hAnsi="Arial" w:cs="Arial"/>
                <w:sz w:val="20"/>
                <w:szCs w:val="20"/>
                <w:lang w:val="en-GB"/>
              </w:rPr>
              <w:t xml:space="preserve"> there are many gramma</w:t>
            </w:r>
            <w:r w:rsidR="00C523A2" w:rsidRPr="008C4047">
              <w:rPr>
                <w:rFonts w:ascii="Arial" w:hAnsi="Arial" w:cs="Arial"/>
                <w:sz w:val="20"/>
                <w:szCs w:val="20"/>
                <w:lang w:val="en-GB"/>
              </w:rPr>
              <w:t>tical and spelling mistakes that needs to be corrected.</w:t>
            </w:r>
          </w:p>
        </w:tc>
        <w:tc>
          <w:tcPr>
            <w:tcW w:w="1523" w:type="pct"/>
          </w:tcPr>
          <w:p w14:paraId="68786C42" w14:textId="77777777" w:rsidR="00E82DF5" w:rsidRPr="008C4047" w:rsidRDefault="00F55F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4047">
              <w:rPr>
                <w:rFonts w:ascii="Arial" w:hAnsi="Arial" w:cs="Arial"/>
                <w:sz w:val="20"/>
                <w:szCs w:val="20"/>
                <w:lang w:val="en-GB"/>
              </w:rPr>
              <w:t>We have fixed it.</w:t>
            </w:r>
          </w:p>
        </w:tc>
      </w:tr>
      <w:tr w:rsidR="00E82DF5" w:rsidRPr="008C4047" w14:paraId="6C40390B" w14:textId="77777777">
        <w:trPr>
          <w:trHeight w:val="1178"/>
        </w:trPr>
        <w:tc>
          <w:tcPr>
            <w:tcW w:w="1265" w:type="pct"/>
            <w:noWrap/>
          </w:tcPr>
          <w:p w14:paraId="5535B38E" w14:textId="77777777" w:rsidR="00E82DF5" w:rsidRPr="008C4047" w:rsidRDefault="00E82DF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C404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C404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C404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83620C9" w14:textId="77777777" w:rsidR="00E82DF5" w:rsidRPr="008C4047" w:rsidRDefault="00E82D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F947C77" w14:textId="77777777" w:rsidR="00E82DF5" w:rsidRPr="008C4047" w:rsidRDefault="00E82D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E77929C" w14:textId="77777777" w:rsidR="00E82DF5" w:rsidRPr="008C4047" w:rsidRDefault="00E82D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6D95B0C" w14:textId="77777777" w:rsidR="00E82DF5" w:rsidRPr="008C4047" w:rsidRDefault="00E82DF5" w:rsidP="00E82D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B86C589" w14:textId="77777777" w:rsidR="00E82DF5" w:rsidRPr="008C4047" w:rsidRDefault="00E82DF5" w:rsidP="00E82D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54DB15" w14:textId="77777777" w:rsidR="00E82DF5" w:rsidRPr="008C4047" w:rsidRDefault="00E82DF5" w:rsidP="00E82D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6584F3" w14:textId="77777777" w:rsidR="00E82DF5" w:rsidRPr="008C4047" w:rsidRDefault="00E82DF5" w:rsidP="00E82D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AA53B1" w14:textId="77777777" w:rsidR="00E82DF5" w:rsidRPr="008C4047" w:rsidRDefault="00E82DF5" w:rsidP="00E82D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C59790D" w14:textId="77777777" w:rsidR="00E82DF5" w:rsidRPr="008C4047" w:rsidRDefault="00E82DF5" w:rsidP="00E82D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85DA10" w14:textId="77777777" w:rsidR="00E82DF5" w:rsidRPr="008C4047" w:rsidRDefault="00E82DF5" w:rsidP="00E82D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0B78D9" w14:textId="77777777" w:rsidR="00E82DF5" w:rsidRPr="008C4047" w:rsidRDefault="00E82DF5" w:rsidP="00E82D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27D8EE" w14:textId="77777777" w:rsidR="00E82DF5" w:rsidRDefault="00E82DF5" w:rsidP="00E82D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0ABB70" w14:textId="77777777" w:rsidR="008C4047" w:rsidRDefault="008C4047" w:rsidP="00E82D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CEC1FB8" w14:textId="77777777" w:rsidR="008C4047" w:rsidRPr="008C4047" w:rsidRDefault="008C4047" w:rsidP="00E82D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B9C97F" w14:textId="77777777" w:rsidR="00E82DF5" w:rsidRPr="008C4047" w:rsidRDefault="00E82DF5" w:rsidP="00E82D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E2AF0" w:rsidRPr="008C4047" w14:paraId="2545E7A1" w14:textId="77777777" w:rsidTr="00CE2AF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3FF54" w14:textId="77777777" w:rsidR="00CE2AF0" w:rsidRPr="008C4047" w:rsidRDefault="00CE2AF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r w:rsidRPr="008C404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8C404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E170C77" w14:textId="77777777" w:rsidR="00CE2AF0" w:rsidRPr="008C4047" w:rsidRDefault="00CE2AF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E2AF0" w:rsidRPr="008C4047" w14:paraId="229FCDED" w14:textId="77777777" w:rsidTr="00CE2AF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3E063" w14:textId="77777777" w:rsidR="00CE2AF0" w:rsidRPr="008C4047" w:rsidRDefault="00CE2AF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3E1B9" w14:textId="77777777" w:rsidR="00CE2AF0" w:rsidRPr="008C4047" w:rsidRDefault="00CE2AF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8C40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Reviewers</w:t>
            </w:r>
            <w:proofErr w:type="spellEnd"/>
            <w:r w:rsidRPr="008C40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530B" w14:textId="77777777" w:rsidR="00CE2AF0" w:rsidRPr="008C4047" w:rsidRDefault="00CE2AF0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proofErr w:type="spellStart"/>
            <w:r w:rsidRPr="008C40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Authors</w:t>
            </w:r>
            <w:proofErr w:type="spellEnd"/>
            <w:r w:rsidRPr="008C40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 Feedback</w:t>
            </w:r>
            <w:r w:rsidRPr="008C404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09A8DC" w14:textId="77777777" w:rsidR="00CE2AF0" w:rsidRPr="008C4047" w:rsidRDefault="00CE2AF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E2AF0" w:rsidRPr="008C4047" w14:paraId="621BE4BE" w14:textId="77777777" w:rsidTr="00CE2AF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BB3F1" w14:textId="77777777" w:rsidR="00CE2AF0" w:rsidRPr="008C4047" w:rsidRDefault="00CE2AF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C404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1232341" w14:textId="77777777" w:rsidR="00CE2AF0" w:rsidRPr="008C4047" w:rsidRDefault="00CE2AF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C545E" w14:textId="77777777" w:rsidR="00CE2AF0" w:rsidRPr="008C4047" w:rsidRDefault="00CE2AF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C404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C404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C404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00D9F9A" w14:textId="77777777" w:rsidR="00CE2AF0" w:rsidRPr="008C4047" w:rsidRDefault="00CE2AF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7764" w14:textId="77777777" w:rsidR="00CE2AF0" w:rsidRPr="008C4047" w:rsidRDefault="00CE2AF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E103C1" w14:textId="77777777" w:rsidR="00CE2AF0" w:rsidRPr="008C4047" w:rsidRDefault="00F55F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C4047">
              <w:rPr>
                <w:rFonts w:ascii="Arial" w:eastAsia="Arial Unicode MS" w:hAnsi="Arial" w:cs="Arial"/>
                <w:sz w:val="20"/>
                <w:szCs w:val="20"/>
              </w:rPr>
              <w:t>there isn't any</w:t>
            </w:r>
          </w:p>
          <w:p w14:paraId="3C59F514" w14:textId="77777777" w:rsidR="00CE2AF0" w:rsidRPr="008C4047" w:rsidRDefault="00CE2AF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3233D1D" w14:textId="77777777" w:rsidR="00CE2AF0" w:rsidRPr="008C4047" w:rsidRDefault="00CE2AF0" w:rsidP="00CE2AF0">
      <w:pPr>
        <w:rPr>
          <w:rFonts w:ascii="Arial" w:hAnsi="Arial" w:cs="Arial"/>
          <w:sz w:val="20"/>
          <w:szCs w:val="20"/>
        </w:rPr>
      </w:pPr>
    </w:p>
    <w:p w14:paraId="59EC778C" w14:textId="77777777" w:rsidR="00CE2AF0" w:rsidRPr="008C4047" w:rsidRDefault="00CE2AF0" w:rsidP="00CE2AF0">
      <w:pPr>
        <w:rPr>
          <w:rFonts w:ascii="Arial" w:hAnsi="Arial" w:cs="Arial"/>
          <w:sz w:val="20"/>
          <w:szCs w:val="20"/>
        </w:rPr>
      </w:pPr>
    </w:p>
    <w:p w14:paraId="5FB312EB" w14:textId="77777777" w:rsidR="00CE2AF0" w:rsidRPr="008C4047" w:rsidRDefault="00CE2AF0" w:rsidP="00CE2AF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73E9B223" w14:textId="77777777" w:rsidR="00CE2AF0" w:rsidRPr="008C4047" w:rsidRDefault="00CE2AF0" w:rsidP="00CE2AF0">
      <w:pPr>
        <w:rPr>
          <w:rFonts w:ascii="Arial" w:hAnsi="Arial" w:cs="Arial"/>
          <w:sz w:val="20"/>
          <w:szCs w:val="20"/>
        </w:rPr>
      </w:pPr>
    </w:p>
    <w:bookmarkEnd w:id="4"/>
    <w:p w14:paraId="6763D0B7" w14:textId="77777777" w:rsidR="00CE2AF0" w:rsidRPr="008C4047" w:rsidRDefault="00CE2AF0" w:rsidP="00CE2AF0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B4ADAD0" w14:textId="77777777" w:rsidR="00E82DF5" w:rsidRPr="008C4047" w:rsidRDefault="00E82DF5" w:rsidP="00E82D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E82DF5" w:rsidRPr="008C4047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7518A" w14:textId="77777777" w:rsidR="003F3173" w:rsidRDefault="003F3173">
      <w:r>
        <w:separator/>
      </w:r>
    </w:p>
  </w:endnote>
  <w:endnote w:type="continuationSeparator" w:id="0">
    <w:p w14:paraId="0B8EA622" w14:textId="77777777" w:rsidR="003F3173" w:rsidRDefault="003F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6D0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938BD" w:rsidRPr="00D938BD">
      <w:rPr>
        <w:sz w:val="16"/>
      </w:rPr>
      <w:t xml:space="preserve">Version: </w:t>
    </w:r>
    <w:r w:rsidR="00F70534">
      <w:rPr>
        <w:sz w:val="16"/>
      </w:rPr>
      <w:t>3</w:t>
    </w:r>
    <w:r w:rsidR="00D938BD" w:rsidRPr="00D938BD">
      <w:rPr>
        <w:sz w:val="16"/>
      </w:rPr>
      <w:t xml:space="preserve"> (0</w:t>
    </w:r>
    <w:r w:rsidR="00F70534">
      <w:rPr>
        <w:sz w:val="16"/>
      </w:rPr>
      <w:t>7</w:t>
    </w:r>
    <w:r w:rsidR="00D938BD" w:rsidRPr="00D938BD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9E050" w14:textId="77777777" w:rsidR="003F3173" w:rsidRDefault="003F3173">
      <w:r>
        <w:separator/>
      </w:r>
    </w:p>
  </w:footnote>
  <w:footnote w:type="continuationSeparator" w:id="0">
    <w:p w14:paraId="37175D7B" w14:textId="77777777" w:rsidR="003F3173" w:rsidRDefault="003F3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D072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DD8B8A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7053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3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5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7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A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90135195">
    <w:abstractNumId w:val="4"/>
  </w:num>
  <w:num w:numId="2" w16cid:durableId="1035228559">
    <w:abstractNumId w:val="8"/>
  </w:num>
  <w:num w:numId="3" w16cid:durableId="1843857746">
    <w:abstractNumId w:val="7"/>
  </w:num>
  <w:num w:numId="4" w16cid:durableId="1986741538">
    <w:abstractNumId w:val="9"/>
  </w:num>
  <w:num w:numId="5" w16cid:durableId="1695376861">
    <w:abstractNumId w:val="6"/>
  </w:num>
  <w:num w:numId="6" w16cid:durableId="50349876">
    <w:abstractNumId w:val="0"/>
  </w:num>
  <w:num w:numId="7" w16cid:durableId="470026431">
    <w:abstractNumId w:val="3"/>
  </w:num>
  <w:num w:numId="8" w16cid:durableId="982931805">
    <w:abstractNumId w:val="11"/>
  </w:num>
  <w:num w:numId="9" w16cid:durableId="1558588076">
    <w:abstractNumId w:val="10"/>
  </w:num>
  <w:num w:numId="10" w16cid:durableId="1992632148">
    <w:abstractNumId w:val="2"/>
  </w:num>
  <w:num w:numId="11" w16cid:durableId="732317660">
    <w:abstractNumId w:val="1"/>
  </w:num>
  <w:num w:numId="12" w16cid:durableId="18714117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A7F1D"/>
    <w:rsid w:val="000B4EE5"/>
    <w:rsid w:val="000B74A1"/>
    <w:rsid w:val="000B757E"/>
    <w:rsid w:val="000C0837"/>
    <w:rsid w:val="000C3B7E"/>
    <w:rsid w:val="000E3950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2A27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1932"/>
    <w:rsid w:val="002D7EA9"/>
    <w:rsid w:val="002E1211"/>
    <w:rsid w:val="002E2339"/>
    <w:rsid w:val="002E2438"/>
    <w:rsid w:val="002E6D86"/>
    <w:rsid w:val="002F6935"/>
    <w:rsid w:val="00312559"/>
    <w:rsid w:val="003204B8"/>
    <w:rsid w:val="0033692F"/>
    <w:rsid w:val="00346223"/>
    <w:rsid w:val="003A04AA"/>
    <w:rsid w:val="003A04E7"/>
    <w:rsid w:val="003A4991"/>
    <w:rsid w:val="003A6E1A"/>
    <w:rsid w:val="003B2172"/>
    <w:rsid w:val="003E746A"/>
    <w:rsid w:val="003F3173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1CD4"/>
    <w:rsid w:val="004B4CAD"/>
    <w:rsid w:val="004B4FDC"/>
    <w:rsid w:val="004C3DF1"/>
    <w:rsid w:val="004D2E36"/>
    <w:rsid w:val="004D59FF"/>
    <w:rsid w:val="004E2B7C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2574"/>
    <w:rsid w:val="005735A5"/>
    <w:rsid w:val="005A5BE0"/>
    <w:rsid w:val="005B12E0"/>
    <w:rsid w:val="005B2ED6"/>
    <w:rsid w:val="005C25A0"/>
    <w:rsid w:val="005D230D"/>
    <w:rsid w:val="00602F7D"/>
    <w:rsid w:val="00605952"/>
    <w:rsid w:val="00614586"/>
    <w:rsid w:val="00620677"/>
    <w:rsid w:val="00624032"/>
    <w:rsid w:val="006305A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0D2E"/>
    <w:rsid w:val="007B1099"/>
    <w:rsid w:val="007B6E18"/>
    <w:rsid w:val="007C3CD4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4080"/>
    <w:rsid w:val="00877F10"/>
    <w:rsid w:val="00882091"/>
    <w:rsid w:val="008913D5"/>
    <w:rsid w:val="00893E75"/>
    <w:rsid w:val="008C2778"/>
    <w:rsid w:val="008C2F62"/>
    <w:rsid w:val="008C4047"/>
    <w:rsid w:val="008C7B6C"/>
    <w:rsid w:val="008D020E"/>
    <w:rsid w:val="008D1117"/>
    <w:rsid w:val="008D15A4"/>
    <w:rsid w:val="008E5B6E"/>
    <w:rsid w:val="008F36E4"/>
    <w:rsid w:val="0090542C"/>
    <w:rsid w:val="009324B5"/>
    <w:rsid w:val="00933C8B"/>
    <w:rsid w:val="009553EC"/>
    <w:rsid w:val="00962C57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953B7"/>
    <w:rsid w:val="00AA3BFE"/>
    <w:rsid w:val="00AA41B3"/>
    <w:rsid w:val="00AA6670"/>
    <w:rsid w:val="00AB1ED6"/>
    <w:rsid w:val="00AB397D"/>
    <w:rsid w:val="00AB638A"/>
    <w:rsid w:val="00AB6E43"/>
    <w:rsid w:val="00AC1349"/>
    <w:rsid w:val="00AD6C51"/>
    <w:rsid w:val="00AE599B"/>
    <w:rsid w:val="00AF3016"/>
    <w:rsid w:val="00AF5CBC"/>
    <w:rsid w:val="00B03A45"/>
    <w:rsid w:val="00B066E6"/>
    <w:rsid w:val="00B2236C"/>
    <w:rsid w:val="00B22FE6"/>
    <w:rsid w:val="00B3033D"/>
    <w:rsid w:val="00B356AF"/>
    <w:rsid w:val="00B43327"/>
    <w:rsid w:val="00B6006C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473B"/>
    <w:rsid w:val="00C22886"/>
    <w:rsid w:val="00C25C8F"/>
    <w:rsid w:val="00C263C6"/>
    <w:rsid w:val="00C523A2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2AF0"/>
    <w:rsid w:val="00CE5AC7"/>
    <w:rsid w:val="00CF0BBB"/>
    <w:rsid w:val="00D1283A"/>
    <w:rsid w:val="00D17979"/>
    <w:rsid w:val="00D2075F"/>
    <w:rsid w:val="00D26D03"/>
    <w:rsid w:val="00D3257B"/>
    <w:rsid w:val="00D40416"/>
    <w:rsid w:val="00D45CF7"/>
    <w:rsid w:val="00D4782A"/>
    <w:rsid w:val="00D7603E"/>
    <w:rsid w:val="00D8579C"/>
    <w:rsid w:val="00D90124"/>
    <w:rsid w:val="00D938BD"/>
    <w:rsid w:val="00D9392F"/>
    <w:rsid w:val="00D940D3"/>
    <w:rsid w:val="00DA2A65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03C6"/>
    <w:rsid w:val="00E82DF5"/>
    <w:rsid w:val="00E84536"/>
    <w:rsid w:val="00E972A7"/>
    <w:rsid w:val="00EA2839"/>
    <w:rsid w:val="00EB3E91"/>
    <w:rsid w:val="00EC6894"/>
    <w:rsid w:val="00ED6B12"/>
    <w:rsid w:val="00EE0D3E"/>
    <w:rsid w:val="00EF326D"/>
    <w:rsid w:val="00EF53FE"/>
    <w:rsid w:val="00EF54E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FDC"/>
    <w:rsid w:val="00F573EA"/>
    <w:rsid w:val="00F57E9D"/>
    <w:rsid w:val="00F70534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4DFC2A"/>
  <w14:defaultImageDpi w14:val="0"/>
  <w15:chartTrackingRefBased/>
  <w15:docId w15:val="{B7B014D0-0011-49F1-8D94-8D5861983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pPr>
      <w:tabs>
        <w:tab w:val="center" w:pos="4500"/>
        <w:tab w:val="right" w:pos="9020"/>
      </w:tabs>
    </w:pPr>
    <w:rPr>
      <w:rFonts w:ascii="Calibri" w:eastAsia="Calibri" w:hAnsi="Calibri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Hyperlink">
    <w:name w:val="Hyperlink"/>
    <w:rPr>
      <w:rFonts w:ascii="Calibri" w:eastAsia="Calibri" w:hAnsi="Calibri" w:cs="Times New Roman"/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ListParagraph">
    <w:name w:val="List Paragraph"/>
    <w:basedOn w:val="Normal"/>
    <w:qFormat/>
    <w:pPr>
      <w:ind w:left="720"/>
    </w:pPr>
    <w:rPr>
      <w:rFonts w:ascii="Calibri" w:eastAsia="Calibri" w:hAnsi="Calibri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rFonts w:ascii="Calibri" w:eastAsia="Calibri" w:hAnsi="Calibri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ion">
    <w:name w:val="Revision"/>
    <w:rPr>
      <w:sz w:val="22"/>
      <w:szCs w:val="22"/>
    </w:rPr>
  </w:style>
  <w:style w:type="character" w:styleId="FollowedHyperlink">
    <w:name w:val="FollowedHyperlink"/>
    <w:rPr>
      <w:rFonts w:ascii="Calibri" w:eastAsia="Calibri" w:hAnsi="Calibri" w:cs="Times New Roman"/>
      <w:color w:val="800080"/>
      <w:u w:val="single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rPr>
      <w:rFonts w:ascii="Calibri" w:eastAsia="Calibri" w:hAnsi="Calibri"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2988</Characters>
  <Application>Microsoft Office Word</Application>
  <DocSecurity>0</DocSecurity>
  <Lines>24</Lines>
  <Paragraphs>7</Paragraphs>
  <ScaleCrop>false</ScaleCrop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3</cp:revision>
  <dcterms:created xsi:type="dcterms:W3CDTF">2025-09-29T15:14:00Z</dcterms:created>
  <dcterms:modified xsi:type="dcterms:W3CDTF">2025-10-03T12:32:00Z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daa300c896ce48e9bbf16ec2b85656bf</vt:lpwstr>
  </property>
</Properties>
</file>